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90" w:type="dxa"/>
        <w:tblCellMar>
          <w:left w:w="0" w:type="dxa"/>
          <w:right w:w="0" w:type="dxa"/>
        </w:tblCellMar>
        <w:tblLook w:val="0600" w:firstRow="0" w:lastRow="0" w:firstColumn="0" w:lastColumn="0" w:noHBand="1" w:noVBand="1"/>
      </w:tblPr>
      <w:tblGrid>
        <w:gridCol w:w="2361"/>
        <w:gridCol w:w="12029"/>
      </w:tblGrid>
      <w:tr w:rsidR="00052E2E" w:rsidRPr="00990C1E" w:rsidTr="00052E2E">
        <w:trPr>
          <w:trHeight w:val="930"/>
        </w:trPr>
        <w:tc>
          <w:tcPr>
            <w:tcW w:w="2361" w:type="dxa"/>
            <w:tcBorders>
              <w:top w:val="single" w:sz="8" w:space="0" w:color="455660"/>
              <w:left w:val="single" w:sz="8" w:space="0" w:color="455660"/>
              <w:bottom w:val="single" w:sz="8" w:space="0" w:color="455660"/>
              <w:right w:val="nil"/>
            </w:tcBorders>
            <w:shd w:val="clear" w:color="auto" w:fill="EBEFF5"/>
            <w:tcMar>
              <w:top w:w="15" w:type="dxa"/>
              <w:left w:w="108" w:type="dxa"/>
              <w:bottom w:w="0" w:type="dxa"/>
              <w:right w:w="108" w:type="dxa"/>
            </w:tcMar>
            <w:vAlign w:val="center"/>
            <w:hideMark/>
          </w:tcPr>
          <w:p w:rsidR="00052E2E" w:rsidRPr="00052E2E" w:rsidRDefault="00052E2E" w:rsidP="00052E2E">
            <w:pPr>
              <w:spacing w:after="0" w:line="240" w:lineRule="auto"/>
              <w:jc w:val="center"/>
              <w:rPr>
                <w:u w:val="single"/>
              </w:rPr>
            </w:pPr>
            <w:r w:rsidRPr="00052E2E">
              <w:rPr>
                <w:b/>
                <w:bCs/>
                <w:u w:val="single"/>
                <w:lang w:val="pt-BR"/>
              </w:rPr>
              <w:t>0.5</w:t>
            </w:r>
          </w:p>
          <w:p w:rsidR="00052E2E" w:rsidRPr="00052E2E" w:rsidRDefault="00052E2E" w:rsidP="00052E2E">
            <w:pPr>
              <w:spacing w:after="0" w:line="240" w:lineRule="auto"/>
              <w:jc w:val="center"/>
            </w:pPr>
            <w:r w:rsidRPr="00052E2E">
              <w:rPr>
                <w:b/>
                <w:bCs/>
                <w:lang w:val="pt-BR"/>
              </w:rPr>
              <w:t>Intenção de participar</w:t>
            </w:r>
          </w:p>
        </w:tc>
        <w:tc>
          <w:tcPr>
            <w:tcW w:w="12029" w:type="dxa"/>
            <w:tcBorders>
              <w:top w:val="single" w:sz="8" w:space="0" w:color="455660"/>
              <w:left w:val="nil"/>
              <w:bottom w:val="single" w:sz="8" w:space="0" w:color="455660"/>
              <w:right w:val="single" w:sz="8" w:space="0" w:color="455660"/>
            </w:tcBorders>
            <w:shd w:val="clear" w:color="auto" w:fill="EBEFF5"/>
            <w:tcMar>
              <w:top w:w="15" w:type="dxa"/>
              <w:left w:w="3" w:type="dxa"/>
              <w:bottom w:w="0" w:type="dxa"/>
              <w:right w:w="3" w:type="dxa"/>
            </w:tcMar>
            <w:vAlign w:val="center"/>
            <w:hideMark/>
          </w:tcPr>
          <w:p w:rsidR="00052E2E" w:rsidRPr="00052E2E" w:rsidRDefault="00052E2E" w:rsidP="00052E2E">
            <w:pPr>
              <w:pStyle w:val="ListParagraph"/>
              <w:numPr>
                <w:ilvl w:val="0"/>
                <w:numId w:val="9"/>
              </w:numPr>
              <w:spacing w:after="0"/>
              <w:rPr>
                <w:lang w:val="pt-BR"/>
              </w:rPr>
            </w:pPr>
            <w:r w:rsidRPr="00052E2E">
              <w:rPr>
                <w:lang w:val="pt-BR"/>
              </w:rPr>
              <w:t xml:space="preserve">Hospital assinou sua participação e se registrou </w:t>
            </w:r>
            <w:r w:rsidR="00914419">
              <w:rPr>
                <w:lang w:val="pt-BR"/>
              </w:rPr>
              <w:t xml:space="preserve">e compareceu </w:t>
            </w:r>
            <w:r w:rsidRPr="00052E2E">
              <w:rPr>
                <w:lang w:val="pt-BR"/>
              </w:rPr>
              <w:t>a SAP1.</w:t>
            </w:r>
          </w:p>
        </w:tc>
      </w:tr>
      <w:tr w:rsidR="00052E2E" w:rsidRPr="00990C1E" w:rsidTr="00052E2E">
        <w:trPr>
          <w:trHeight w:val="989"/>
        </w:trPr>
        <w:tc>
          <w:tcPr>
            <w:tcW w:w="2361" w:type="dxa"/>
            <w:tcBorders>
              <w:top w:val="single" w:sz="8" w:space="0" w:color="455660"/>
              <w:left w:val="single" w:sz="8" w:space="0" w:color="455660"/>
              <w:bottom w:val="single" w:sz="8" w:space="0" w:color="455660"/>
              <w:right w:val="nil"/>
            </w:tcBorders>
            <w:shd w:val="clear" w:color="auto" w:fill="EBEFF5"/>
            <w:tcMar>
              <w:top w:w="15" w:type="dxa"/>
              <w:left w:w="108" w:type="dxa"/>
              <w:bottom w:w="0" w:type="dxa"/>
              <w:right w:w="108" w:type="dxa"/>
            </w:tcMar>
            <w:vAlign w:val="center"/>
            <w:hideMark/>
          </w:tcPr>
          <w:p w:rsidR="00052E2E" w:rsidRPr="00052E2E" w:rsidRDefault="00052E2E" w:rsidP="00052E2E">
            <w:pPr>
              <w:spacing w:after="0" w:line="240" w:lineRule="auto"/>
              <w:jc w:val="center"/>
              <w:rPr>
                <w:u w:val="single"/>
              </w:rPr>
            </w:pPr>
            <w:r w:rsidRPr="00052E2E">
              <w:rPr>
                <w:b/>
                <w:bCs/>
                <w:u w:val="single"/>
                <w:lang w:val="pt-BR"/>
              </w:rPr>
              <w:t>1.0</w:t>
            </w:r>
          </w:p>
          <w:p w:rsidR="00052E2E" w:rsidRPr="00052E2E" w:rsidRDefault="00052E2E" w:rsidP="00052E2E">
            <w:pPr>
              <w:spacing w:after="0" w:line="240" w:lineRule="auto"/>
              <w:jc w:val="center"/>
            </w:pPr>
            <w:r w:rsidRPr="00052E2E">
              <w:rPr>
                <w:b/>
                <w:bCs/>
                <w:lang w:val="pt-BR"/>
              </w:rPr>
              <w:t>Equipes completas</w:t>
            </w:r>
          </w:p>
        </w:tc>
        <w:tc>
          <w:tcPr>
            <w:tcW w:w="12029" w:type="dxa"/>
            <w:tcBorders>
              <w:top w:val="single" w:sz="8" w:space="0" w:color="455660"/>
              <w:left w:val="nil"/>
              <w:bottom w:val="single" w:sz="8" w:space="0" w:color="455660"/>
              <w:right w:val="single" w:sz="8" w:space="0" w:color="455660"/>
            </w:tcBorders>
            <w:shd w:val="clear" w:color="auto" w:fill="EBEFF5"/>
            <w:tcMar>
              <w:top w:w="15" w:type="dxa"/>
              <w:left w:w="3" w:type="dxa"/>
              <w:bottom w:w="0" w:type="dxa"/>
              <w:right w:w="3" w:type="dxa"/>
            </w:tcMar>
            <w:vAlign w:val="center"/>
            <w:hideMark/>
          </w:tcPr>
          <w:p w:rsidR="00052E2E" w:rsidRPr="00052E2E" w:rsidRDefault="00052E2E" w:rsidP="00052E2E">
            <w:pPr>
              <w:pStyle w:val="ListParagraph"/>
              <w:numPr>
                <w:ilvl w:val="0"/>
                <w:numId w:val="8"/>
              </w:numPr>
              <w:spacing w:after="0"/>
              <w:rPr>
                <w:lang w:val="pt-BR"/>
              </w:rPr>
            </w:pPr>
            <w:r w:rsidRPr="00052E2E">
              <w:rPr>
                <w:lang w:val="pt-BR"/>
              </w:rPr>
              <w:t xml:space="preserve">Equipes estão formadas, população alvo e área piloto determinadas, objetivo definido, dados coletados para início da construção da linha de base dos indicadores de resultado. </w:t>
            </w:r>
          </w:p>
        </w:tc>
      </w:tr>
      <w:tr w:rsidR="00052E2E" w:rsidRPr="00990C1E" w:rsidTr="00052E2E">
        <w:trPr>
          <w:trHeight w:val="1367"/>
        </w:trPr>
        <w:tc>
          <w:tcPr>
            <w:tcW w:w="2361" w:type="dxa"/>
            <w:tcBorders>
              <w:top w:val="single" w:sz="8" w:space="0" w:color="455660"/>
              <w:left w:val="single" w:sz="8" w:space="0" w:color="455660"/>
              <w:bottom w:val="single" w:sz="8" w:space="0" w:color="455660"/>
              <w:right w:val="nil"/>
            </w:tcBorders>
            <w:shd w:val="clear" w:color="auto" w:fill="EBEFF5"/>
            <w:tcMar>
              <w:top w:w="15" w:type="dxa"/>
              <w:left w:w="108" w:type="dxa"/>
              <w:bottom w:w="0" w:type="dxa"/>
              <w:right w:w="108" w:type="dxa"/>
            </w:tcMar>
            <w:vAlign w:val="center"/>
            <w:hideMark/>
          </w:tcPr>
          <w:p w:rsidR="00052E2E" w:rsidRPr="00052E2E" w:rsidRDefault="00052E2E" w:rsidP="00052E2E">
            <w:pPr>
              <w:spacing w:after="0" w:line="240" w:lineRule="auto"/>
              <w:jc w:val="center"/>
              <w:rPr>
                <w:u w:val="single"/>
                <w:lang w:val="pt-BR"/>
              </w:rPr>
            </w:pPr>
            <w:r w:rsidRPr="00052E2E">
              <w:rPr>
                <w:b/>
                <w:bCs/>
                <w:u w:val="single"/>
                <w:lang w:val="pt-BR"/>
              </w:rPr>
              <w:t>1.5</w:t>
            </w:r>
          </w:p>
          <w:p w:rsidR="00052E2E" w:rsidRPr="00052E2E" w:rsidRDefault="00052E2E" w:rsidP="00052E2E">
            <w:pPr>
              <w:spacing w:after="0" w:line="240" w:lineRule="auto"/>
              <w:jc w:val="center"/>
              <w:rPr>
                <w:lang w:val="pt-BR"/>
              </w:rPr>
            </w:pPr>
            <w:r w:rsidRPr="00052E2E">
              <w:rPr>
                <w:b/>
                <w:bCs/>
                <w:lang w:val="pt-BR"/>
              </w:rPr>
              <w:t>Planejamento para</w:t>
            </w:r>
          </w:p>
          <w:p w:rsidR="00052E2E" w:rsidRPr="00052E2E" w:rsidRDefault="00052E2E" w:rsidP="00052E2E">
            <w:pPr>
              <w:spacing w:after="0" w:line="240" w:lineRule="auto"/>
              <w:jc w:val="center"/>
              <w:rPr>
                <w:lang w:val="pt-BR"/>
              </w:rPr>
            </w:pPr>
            <w:r w:rsidRPr="00052E2E">
              <w:rPr>
                <w:b/>
                <w:bCs/>
                <w:lang w:val="pt-BR"/>
              </w:rPr>
              <w:t>o projeto se iniciou</w:t>
            </w:r>
          </w:p>
        </w:tc>
        <w:tc>
          <w:tcPr>
            <w:tcW w:w="12029" w:type="dxa"/>
            <w:tcBorders>
              <w:top w:val="single" w:sz="8" w:space="0" w:color="455660"/>
              <w:left w:val="nil"/>
              <w:bottom w:val="single" w:sz="8" w:space="0" w:color="455660"/>
              <w:right w:val="single" w:sz="8" w:space="0" w:color="455660"/>
            </w:tcBorders>
            <w:shd w:val="clear" w:color="auto" w:fill="EBEFF5"/>
            <w:tcMar>
              <w:top w:w="15" w:type="dxa"/>
              <w:left w:w="3" w:type="dxa"/>
              <w:bottom w:w="0" w:type="dxa"/>
              <w:right w:w="3" w:type="dxa"/>
            </w:tcMar>
            <w:vAlign w:val="center"/>
            <w:hideMark/>
          </w:tcPr>
          <w:p w:rsidR="00052E2E" w:rsidRPr="00D83C00" w:rsidRDefault="00052E2E" w:rsidP="00052E2E">
            <w:pPr>
              <w:pStyle w:val="ListParagraph"/>
              <w:numPr>
                <w:ilvl w:val="0"/>
                <w:numId w:val="7"/>
              </w:numPr>
              <w:spacing w:after="0"/>
              <w:rPr>
                <w:lang w:val="pt-BR"/>
              </w:rPr>
            </w:pPr>
            <w:r w:rsidRPr="00052E2E">
              <w:rPr>
                <w:lang w:val="pt-BR"/>
              </w:rPr>
              <w:t xml:space="preserve">Organização da estrutura do projeto começou. </w:t>
            </w:r>
          </w:p>
          <w:p w:rsidR="00052E2E" w:rsidRDefault="00052E2E" w:rsidP="00052E2E">
            <w:pPr>
              <w:pStyle w:val="ListParagraph"/>
              <w:numPr>
                <w:ilvl w:val="0"/>
                <w:numId w:val="7"/>
              </w:numPr>
              <w:spacing w:after="0"/>
              <w:rPr>
                <w:lang w:val="pt-BR"/>
              </w:rPr>
            </w:pPr>
            <w:r w:rsidRPr="00052E2E">
              <w:rPr>
                <w:lang w:val="pt-BR"/>
              </w:rPr>
              <w:t xml:space="preserve">Perguntas chaves sendo discutidas como recursos e materiais necessários; frequência das reuniões; processos para coleta de dados. </w:t>
            </w:r>
          </w:p>
          <w:p w:rsidR="00052E2E" w:rsidRPr="00052E2E" w:rsidRDefault="00052E2E" w:rsidP="00052E2E">
            <w:pPr>
              <w:pStyle w:val="ListParagraph"/>
              <w:numPr>
                <w:ilvl w:val="0"/>
                <w:numId w:val="7"/>
              </w:numPr>
              <w:spacing w:after="0"/>
              <w:rPr>
                <w:lang w:val="pt-BR"/>
              </w:rPr>
            </w:pPr>
            <w:r w:rsidRPr="00052E2E">
              <w:rPr>
                <w:lang w:val="pt-BR"/>
              </w:rPr>
              <w:t>Equipes estão se reunindo e a discussão está ocorrendo.</w:t>
            </w:r>
          </w:p>
        </w:tc>
      </w:tr>
      <w:tr w:rsidR="00052E2E" w:rsidRPr="00990C1E" w:rsidTr="00052E2E">
        <w:trPr>
          <w:trHeight w:val="1367"/>
        </w:trPr>
        <w:tc>
          <w:tcPr>
            <w:tcW w:w="2361" w:type="dxa"/>
            <w:tcBorders>
              <w:top w:val="single" w:sz="8" w:space="0" w:color="455660"/>
              <w:left w:val="single" w:sz="8" w:space="0" w:color="455660"/>
              <w:bottom w:val="single" w:sz="8" w:space="0" w:color="455660"/>
              <w:right w:val="nil"/>
            </w:tcBorders>
            <w:shd w:val="clear" w:color="auto" w:fill="EBEFF5"/>
            <w:tcMar>
              <w:top w:w="15" w:type="dxa"/>
              <w:left w:w="108" w:type="dxa"/>
              <w:bottom w:w="0" w:type="dxa"/>
              <w:right w:w="108" w:type="dxa"/>
            </w:tcMar>
            <w:vAlign w:val="center"/>
            <w:hideMark/>
          </w:tcPr>
          <w:p w:rsidR="00052E2E" w:rsidRPr="00052E2E" w:rsidRDefault="00052E2E" w:rsidP="00052E2E">
            <w:pPr>
              <w:spacing w:after="0" w:line="240" w:lineRule="auto"/>
              <w:jc w:val="center"/>
              <w:rPr>
                <w:u w:val="single"/>
                <w:lang w:val="pt-BR"/>
              </w:rPr>
            </w:pPr>
            <w:r w:rsidRPr="00052E2E">
              <w:rPr>
                <w:b/>
                <w:bCs/>
                <w:u w:val="single"/>
                <w:lang w:val="pt-BR"/>
              </w:rPr>
              <w:t>2.0</w:t>
            </w:r>
          </w:p>
          <w:p w:rsidR="00052E2E" w:rsidRPr="00052E2E" w:rsidRDefault="00052E2E" w:rsidP="00052E2E">
            <w:pPr>
              <w:spacing w:after="0" w:line="240" w:lineRule="auto"/>
              <w:jc w:val="center"/>
              <w:rPr>
                <w:lang w:val="pt-BR"/>
              </w:rPr>
            </w:pPr>
            <w:r w:rsidRPr="00052E2E">
              <w:rPr>
                <w:b/>
                <w:bCs/>
                <w:lang w:val="pt-BR"/>
              </w:rPr>
              <w:t>Atividades iniciaram,</w:t>
            </w:r>
          </w:p>
          <w:p w:rsidR="00052E2E" w:rsidRPr="00052E2E" w:rsidRDefault="00052E2E" w:rsidP="00052E2E">
            <w:pPr>
              <w:spacing w:after="0" w:line="240" w:lineRule="auto"/>
              <w:jc w:val="center"/>
              <w:rPr>
                <w:lang w:val="pt-BR"/>
              </w:rPr>
            </w:pPr>
            <w:r w:rsidRPr="00052E2E">
              <w:rPr>
                <w:b/>
                <w:bCs/>
                <w:lang w:val="pt-BR"/>
              </w:rPr>
              <w:t>mas sem mudanças</w:t>
            </w:r>
          </w:p>
        </w:tc>
        <w:tc>
          <w:tcPr>
            <w:tcW w:w="12029" w:type="dxa"/>
            <w:tcBorders>
              <w:top w:val="single" w:sz="8" w:space="0" w:color="455660"/>
              <w:left w:val="nil"/>
              <w:bottom w:val="single" w:sz="8" w:space="0" w:color="455660"/>
              <w:right w:val="single" w:sz="8" w:space="0" w:color="455660"/>
            </w:tcBorders>
            <w:shd w:val="clear" w:color="auto" w:fill="EBEFF5"/>
            <w:tcMar>
              <w:top w:w="15" w:type="dxa"/>
              <w:left w:w="3" w:type="dxa"/>
              <w:bottom w:w="0" w:type="dxa"/>
              <w:right w:w="3" w:type="dxa"/>
            </w:tcMar>
            <w:vAlign w:val="center"/>
            <w:hideMark/>
          </w:tcPr>
          <w:p w:rsidR="00052E2E" w:rsidRDefault="00052E2E" w:rsidP="00052E2E">
            <w:pPr>
              <w:pStyle w:val="ListParagraph"/>
              <w:numPr>
                <w:ilvl w:val="0"/>
                <w:numId w:val="6"/>
              </w:numPr>
              <w:spacing w:after="0"/>
              <w:rPr>
                <w:lang w:val="pt-BR"/>
              </w:rPr>
            </w:pPr>
            <w:r w:rsidRPr="00052E2E">
              <w:rPr>
                <w:lang w:val="pt-BR"/>
              </w:rPr>
              <w:t xml:space="preserve">Integrantes da equipe estudaram o Diagrama Direcionador e o pacote de mudanças. </w:t>
            </w:r>
          </w:p>
          <w:p w:rsidR="00052E2E" w:rsidRDefault="00052E2E" w:rsidP="00052E2E">
            <w:pPr>
              <w:pStyle w:val="ListParagraph"/>
              <w:numPr>
                <w:ilvl w:val="0"/>
                <w:numId w:val="6"/>
              </w:numPr>
              <w:spacing w:after="0"/>
              <w:rPr>
                <w:lang w:val="pt-BR"/>
              </w:rPr>
            </w:pPr>
            <w:r w:rsidRPr="00052E2E">
              <w:rPr>
                <w:lang w:val="pt-BR"/>
              </w:rPr>
              <w:t>Começaram o planejamento dos primeiros ciclos PDSA para coleta de informação e testes de mudanças.</w:t>
            </w:r>
          </w:p>
          <w:p w:rsidR="00052E2E" w:rsidRPr="00052E2E" w:rsidRDefault="00052E2E" w:rsidP="00052E2E">
            <w:pPr>
              <w:pStyle w:val="ListParagraph"/>
              <w:numPr>
                <w:ilvl w:val="0"/>
                <w:numId w:val="6"/>
              </w:numPr>
              <w:spacing w:after="0"/>
              <w:rPr>
                <w:lang w:val="pt-BR"/>
              </w:rPr>
            </w:pPr>
            <w:r w:rsidRPr="00052E2E">
              <w:rPr>
                <w:lang w:val="pt-BR"/>
              </w:rPr>
              <w:t>Dados estão sendo introduzidos na Extranet e a equipe está engajada no desenvolvimento, coleta de</w:t>
            </w:r>
            <w:r w:rsidR="007105C0">
              <w:rPr>
                <w:lang w:val="pt-BR"/>
              </w:rPr>
              <w:t xml:space="preserve"> informações, dados e rondas iniciadas e </w:t>
            </w:r>
            <w:proofErr w:type="spellStart"/>
            <w:r w:rsidR="007105C0">
              <w:rPr>
                <w:lang w:val="pt-BR"/>
              </w:rPr>
              <w:t>huddles</w:t>
            </w:r>
            <w:proofErr w:type="spellEnd"/>
            <w:r w:rsidR="007105C0">
              <w:rPr>
                <w:lang w:val="pt-BR"/>
              </w:rPr>
              <w:t xml:space="preserve"> da equipe de projeto</w:t>
            </w:r>
          </w:p>
        </w:tc>
      </w:tr>
      <w:tr w:rsidR="00052E2E" w:rsidRPr="00990C1E" w:rsidTr="00052E2E">
        <w:trPr>
          <w:trHeight w:val="1367"/>
        </w:trPr>
        <w:tc>
          <w:tcPr>
            <w:tcW w:w="2361" w:type="dxa"/>
            <w:tcBorders>
              <w:top w:val="single" w:sz="8" w:space="0" w:color="455660"/>
              <w:left w:val="single" w:sz="8" w:space="0" w:color="455660"/>
              <w:bottom w:val="single" w:sz="8" w:space="0" w:color="455660"/>
              <w:right w:val="nil"/>
            </w:tcBorders>
            <w:shd w:val="clear" w:color="auto" w:fill="EBEFF5"/>
            <w:tcMar>
              <w:top w:w="15" w:type="dxa"/>
              <w:left w:w="108" w:type="dxa"/>
              <w:bottom w:w="0" w:type="dxa"/>
              <w:right w:w="108" w:type="dxa"/>
            </w:tcMar>
            <w:vAlign w:val="center"/>
            <w:hideMark/>
          </w:tcPr>
          <w:p w:rsidR="00052E2E" w:rsidRPr="00052E2E" w:rsidRDefault="00052E2E" w:rsidP="00052E2E">
            <w:pPr>
              <w:spacing w:after="0" w:line="240" w:lineRule="auto"/>
              <w:jc w:val="center"/>
              <w:rPr>
                <w:u w:val="single"/>
                <w:lang w:val="pt-BR"/>
              </w:rPr>
            </w:pPr>
            <w:r w:rsidRPr="00052E2E">
              <w:rPr>
                <w:b/>
                <w:bCs/>
                <w:u w:val="single"/>
                <w:lang w:val="pt-BR"/>
              </w:rPr>
              <w:t>2.5</w:t>
            </w:r>
          </w:p>
          <w:p w:rsidR="00052E2E" w:rsidRPr="00052E2E" w:rsidRDefault="00052E2E" w:rsidP="00052E2E">
            <w:pPr>
              <w:spacing w:after="0" w:line="240" w:lineRule="auto"/>
              <w:jc w:val="center"/>
              <w:rPr>
                <w:lang w:val="pt-BR"/>
              </w:rPr>
            </w:pPr>
            <w:r w:rsidRPr="00052E2E">
              <w:rPr>
                <w:b/>
                <w:bCs/>
                <w:lang w:val="pt-BR"/>
              </w:rPr>
              <w:t>Mudanças testadas,</w:t>
            </w:r>
          </w:p>
          <w:p w:rsidR="00052E2E" w:rsidRPr="00052E2E" w:rsidRDefault="00052E2E" w:rsidP="00052E2E">
            <w:pPr>
              <w:spacing w:after="0" w:line="240" w:lineRule="auto"/>
              <w:jc w:val="center"/>
              <w:rPr>
                <w:lang w:val="pt-BR"/>
              </w:rPr>
            </w:pPr>
            <w:r w:rsidRPr="00052E2E">
              <w:rPr>
                <w:b/>
                <w:bCs/>
                <w:lang w:val="pt-BR"/>
              </w:rPr>
              <w:t>mas sem melhoria</w:t>
            </w:r>
          </w:p>
        </w:tc>
        <w:tc>
          <w:tcPr>
            <w:tcW w:w="12029" w:type="dxa"/>
            <w:tcBorders>
              <w:top w:val="single" w:sz="8" w:space="0" w:color="455660"/>
              <w:left w:val="nil"/>
              <w:bottom w:val="single" w:sz="8" w:space="0" w:color="455660"/>
              <w:right w:val="single" w:sz="8" w:space="0" w:color="455660"/>
            </w:tcBorders>
            <w:shd w:val="clear" w:color="auto" w:fill="EBEFF5"/>
            <w:tcMar>
              <w:top w:w="15" w:type="dxa"/>
              <w:left w:w="3" w:type="dxa"/>
              <w:bottom w:w="0" w:type="dxa"/>
              <w:right w:w="3" w:type="dxa"/>
            </w:tcMar>
            <w:vAlign w:val="center"/>
            <w:hideMark/>
          </w:tcPr>
          <w:p w:rsidR="00052E2E" w:rsidRPr="00052E2E" w:rsidRDefault="00052E2E" w:rsidP="003A77D1">
            <w:pPr>
              <w:pStyle w:val="ListParagraph"/>
              <w:numPr>
                <w:ilvl w:val="0"/>
                <w:numId w:val="5"/>
              </w:numPr>
              <w:spacing w:after="0"/>
              <w:rPr>
                <w:lang w:val="pt-BR"/>
              </w:rPr>
            </w:pPr>
            <w:r w:rsidRPr="00052E2E">
              <w:rPr>
                <w:lang w:val="pt-BR"/>
              </w:rPr>
              <w:t>Mudanças sendo testadas em mais de um componente do pacote de mudanças, mas os da</w:t>
            </w:r>
            <w:r>
              <w:rPr>
                <w:lang w:val="pt-BR"/>
              </w:rPr>
              <w:t>dos ainda não mostram melhoria.</w:t>
            </w:r>
          </w:p>
          <w:p w:rsidR="00052E2E" w:rsidRPr="007105C0" w:rsidRDefault="00DA579C" w:rsidP="003A77D1">
            <w:pPr>
              <w:pStyle w:val="ListParagraph"/>
              <w:numPr>
                <w:ilvl w:val="0"/>
                <w:numId w:val="5"/>
              </w:numPr>
              <w:spacing w:after="0"/>
              <w:rPr>
                <w:lang w:val="pt-BR"/>
              </w:rPr>
            </w:pPr>
            <w:r>
              <w:rPr>
                <w:lang w:val="pt-BR"/>
              </w:rPr>
              <w:t>Todos</w:t>
            </w:r>
            <w:r w:rsidR="007105C0">
              <w:rPr>
                <w:lang w:val="pt-BR"/>
              </w:rPr>
              <w:t xml:space="preserve"> os indicadores de </w:t>
            </w:r>
            <w:r w:rsidR="00052E2E" w:rsidRPr="00052E2E">
              <w:rPr>
                <w:lang w:val="pt-BR"/>
              </w:rPr>
              <w:t>resu</w:t>
            </w:r>
            <w:r w:rsidR="007105C0">
              <w:rPr>
                <w:lang w:val="pt-BR"/>
              </w:rPr>
              <w:t xml:space="preserve">ltados e processos </w:t>
            </w:r>
            <w:r>
              <w:rPr>
                <w:lang w:val="pt-BR"/>
              </w:rPr>
              <w:t>estão sendo reportados mensalmente</w:t>
            </w:r>
          </w:p>
        </w:tc>
      </w:tr>
      <w:tr w:rsidR="00052E2E" w:rsidRPr="00990C1E" w:rsidTr="00052E2E">
        <w:trPr>
          <w:trHeight w:val="1978"/>
        </w:trPr>
        <w:tc>
          <w:tcPr>
            <w:tcW w:w="2361" w:type="dxa"/>
            <w:tcBorders>
              <w:top w:val="single" w:sz="8" w:space="0" w:color="455660"/>
              <w:left w:val="single" w:sz="8" w:space="0" w:color="455660"/>
              <w:bottom w:val="single" w:sz="8" w:space="0" w:color="455660"/>
              <w:right w:val="nil"/>
            </w:tcBorders>
            <w:shd w:val="clear" w:color="auto" w:fill="EBEFF5"/>
            <w:tcMar>
              <w:top w:w="15" w:type="dxa"/>
              <w:left w:w="108" w:type="dxa"/>
              <w:bottom w:w="0" w:type="dxa"/>
              <w:right w:w="108" w:type="dxa"/>
            </w:tcMar>
            <w:vAlign w:val="center"/>
            <w:hideMark/>
          </w:tcPr>
          <w:p w:rsidR="00052E2E" w:rsidRPr="00052E2E" w:rsidRDefault="00052E2E" w:rsidP="00052E2E">
            <w:pPr>
              <w:spacing w:after="0" w:line="240" w:lineRule="auto"/>
              <w:jc w:val="center"/>
              <w:rPr>
                <w:u w:val="single"/>
              </w:rPr>
            </w:pPr>
            <w:r w:rsidRPr="00052E2E">
              <w:rPr>
                <w:b/>
                <w:bCs/>
                <w:u w:val="single"/>
                <w:lang w:val="pt-BR"/>
              </w:rPr>
              <w:t>3.0</w:t>
            </w:r>
          </w:p>
          <w:p w:rsidR="00052E2E" w:rsidRPr="00052E2E" w:rsidRDefault="00052E2E" w:rsidP="00052E2E">
            <w:pPr>
              <w:spacing w:after="0" w:line="240" w:lineRule="auto"/>
              <w:jc w:val="center"/>
            </w:pPr>
            <w:r w:rsidRPr="00052E2E">
              <w:rPr>
                <w:b/>
                <w:bCs/>
                <w:lang w:val="pt-BR"/>
              </w:rPr>
              <w:t>Melhoria modesta</w:t>
            </w:r>
          </w:p>
        </w:tc>
        <w:tc>
          <w:tcPr>
            <w:tcW w:w="12029" w:type="dxa"/>
            <w:tcBorders>
              <w:top w:val="single" w:sz="8" w:space="0" w:color="455660"/>
              <w:left w:val="nil"/>
              <w:bottom w:val="single" w:sz="8" w:space="0" w:color="455660"/>
              <w:right w:val="single" w:sz="8" w:space="0" w:color="455660"/>
            </w:tcBorders>
            <w:shd w:val="clear" w:color="auto" w:fill="EBEFF5"/>
            <w:tcMar>
              <w:top w:w="15" w:type="dxa"/>
              <w:left w:w="3" w:type="dxa"/>
              <w:bottom w:w="0" w:type="dxa"/>
              <w:right w:w="3" w:type="dxa"/>
            </w:tcMar>
            <w:vAlign w:val="center"/>
            <w:hideMark/>
          </w:tcPr>
          <w:p w:rsidR="00052E2E" w:rsidRPr="00052E2E" w:rsidRDefault="00052E2E" w:rsidP="00052E2E">
            <w:pPr>
              <w:pStyle w:val="ListParagraph"/>
              <w:numPr>
                <w:ilvl w:val="0"/>
                <w:numId w:val="1"/>
              </w:numPr>
              <w:spacing w:after="0"/>
              <w:rPr>
                <w:lang w:val="pt-BR"/>
              </w:rPr>
            </w:pPr>
            <w:r w:rsidRPr="00052E2E">
              <w:rPr>
                <w:lang w:val="pt-BR"/>
              </w:rPr>
              <w:t xml:space="preserve">Ciclos de teste já finalizados com sucesso para alguns componentes do pacote de mudanças relacionados aos objetivos. Algumas implementações de mudanças em pequena escala começaram na área piloto em vários componentes do pacote de mudanças. </w:t>
            </w:r>
          </w:p>
          <w:p w:rsidR="00052E2E" w:rsidRPr="00052E2E" w:rsidRDefault="00052E2E" w:rsidP="00052E2E">
            <w:pPr>
              <w:pStyle w:val="ListParagraph"/>
              <w:numPr>
                <w:ilvl w:val="0"/>
                <w:numId w:val="1"/>
              </w:numPr>
              <w:spacing w:after="0"/>
              <w:rPr>
                <w:lang w:val="pt-BR"/>
              </w:rPr>
            </w:pPr>
            <w:r w:rsidRPr="00052E2E">
              <w:rPr>
                <w:b/>
                <w:bCs/>
                <w:lang w:val="pt-BR"/>
              </w:rPr>
              <w:t xml:space="preserve">Pelo menos 15% de redução na mediana ou </w:t>
            </w:r>
            <w:r w:rsidR="00D83C00" w:rsidRPr="00052E2E">
              <w:rPr>
                <w:b/>
                <w:bCs/>
                <w:lang w:val="pt-BR"/>
              </w:rPr>
              <w:t>média</w:t>
            </w:r>
            <w:r w:rsidRPr="00052E2E">
              <w:rPr>
                <w:b/>
                <w:bCs/>
                <w:lang w:val="pt-BR"/>
              </w:rPr>
              <w:t xml:space="preserve"> das densidades de infecção (ICVC, ITUCV, PAV) ou mais de 90 </w:t>
            </w:r>
            <w:r w:rsidR="006D37A0">
              <w:rPr>
                <w:b/>
                <w:bCs/>
                <w:lang w:val="pt-BR"/>
              </w:rPr>
              <w:t>dispositivos dia entre</w:t>
            </w:r>
            <w:r w:rsidR="006D37A0" w:rsidRPr="00052E2E">
              <w:rPr>
                <w:b/>
                <w:bCs/>
                <w:lang w:val="pt-BR"/>
              </w:rPr>
              <w:t xml:space="preserve"> infecções</w:t>
            </w:r>
            <w:r w:rsidRPr="00052E2E">
              <w:rPr>
                <w:b/>
                <w:bCs/>
                <w:lang w:val="pt-BR"/>
              </w:rPr>
              <w:t xml:space="preserve"> ICVC, ITUCV e PAV (corresponde a 30% de </w:t>
            </w:r>
            <w:r w:rsidR="0053618E">
              <w:rPr>
                <w:b/>
                <w:bCs/>
                <w:lang w:val="pt-BR"/>
              </w:rPr>
              <w:t>300 dispositivos dia entre</w:t>
            </w:r>
            <w:r w:rsidR="0053618E" w:rsidRPr="00052E2E">
              <w:rPr>
                <w:b/>
                <w:bCs/>
                <w:lang w:val="pt-BR"/>
              </w:rPr>
              <w:t xml:space="preserve"> infecções</w:t>
            </w:r>
            <w:r w:rsidRPr="00052E2E">
              <w:rPr>
                <w:b/>
                <w:bCs/>
                <w:lang w:val="pt-BR"/>
              </w:rPr>
              <w:t>)</w:t>
            </w:r>
          </w:p>
          <w:p w:rsidR="00052E2E" w:rsidRPr="00052E2E" w:rsidRDefault="005C0ACD" w:rsidP="00165D1A">
            <w:pPr>
              <w:pStyle w:val="ListParagraph"/>
              <w:numPr>
                <w:ilvl w:val="0"/>
                <w:numId w:val="1"/>
              </w:numPr>
              <w:spacing w:after="0"/>
              <w:rPr>
                <w:lang w:val="pt-BR"/>
              </w:rPr>
            </w:pPr>
            <w:r w:rsidRPr="00825CF1">
              <w:rPr>
                <w:b/>
                <w:bCs/>
                <w:lang w:val="pt-BR"/>
              </w:rPr>
              <w:t xml:space="preserve">O indicador de adesão ao pacote de mudança (bundle) para redução de infeção está estável com pelo menos 6 pontos com mediana ou média </w:t>
            </w:r>
            <w:r>
              <w:rPr>
                <w:b/>
                <w:bCs/>
                <w:lang w:val="pt-BR"/>
              </w:rPr>
              <w:t>&gt; 70</w:t>
            </w:r>
            <w:r w:rsidRPr="00825CF1">
              <w:rPr>
                <w:b/>
                <w:bCs/>
                <w:lang w:val="pt-BR"/>
              </w:rPr>
              <w:t>%</w:t>
            </w:r>
          </w:p>
        </w:tc>
      </w:tr>
      <w:tr w:rsidR="00052E2E" w:rsidRPr="00990C1E" w:rsidTr="00052E2E">
        <w:trPr>
          <w:trHeight w:val="1148"/>
        </w:trPr>
        <w:tc>
          <w:tcPr>
            <w:tcW w:w="2361" w:type="dxa"/>
            <w:tcBorders>
              <w:top w:val="single" w:sz="8" w:space="0" w:color="455660"/>
              <w:left w:val="single" w:sz="8" w:space="0" w:color="455660"/>
              <w:bottom w:val="single" w:sz="8" w:space="0" w:color="455660"/>
              <w:right w:val="nil"/>
            </w:tcBorders>
            <w:shd w:val="clear" w:color="auto" w:fill="EBEFF5"/>
            <w:tcMar>
              <w:top w:w="15" w:type="dxa"/>
              <w:left w:w="108" w:type="dxa"/>
              <w:bottom w:w="0" w:type="dxa"/>
              <w:right w:w="108" w:type="dxa"/>
            </w:tcMar>
            <w:vAlign w:val="center"/>
            <w:hideMark/>
          </w:tcPr>
          <w:p w:rsidR="00052E2E" w:rsidRPr="00052E2E" w:rsidRDefault="00052E2E" w:rsidP="00052E2E">
            <w:pPr>
              <w:spacing w:after="0" w:line="240" w:lineRule="auto"/>
              <w:jc w:val="center"/>
              <w:rPr>
                <w:u w:val="single"/>
              </w:rPr>
            </w:pPr>
            <w:r w:rsidRPr="00052E2E">
              <w:rPr>
                <w:b/>
                <w:bCs/>
                <w:u w:val="single"/>
                <w:lang w:val="pt-BR"/>
              </w:rPr>
              <w:t>3.5</w:t>
            </w:r>
          </w:p>
          <w:p w:rsidR="00052E2E" w:rsidRPr="00052E2E" w:rsidRDefault="00052E2E" w:rsidP="00052E2E">
            <w:pPr>
              <w:spacing w:after="0" w:line="240" w:lineRule="auto"/>
              <w:jc w:val="center"/>
            </w:pPr>
            <w:r w:rsidRPr="00052E2E">
              <w:rPr>
                <w:b/>
                <w:bCs/>
                <w:lang w:val="pt-BR"/>
              </w:rPr>
              <w:t>Melhoria</w:t>
            </w:r>
          </w:p>
        </w:tc>
        <w:tc>
          <w:tcPr>
            <w:tcW w:w="12029" w:type="dxa"/>
            <w:tcBorders>
              <w:top w:val="single" w:sz="8" w:space="0" w:color="455660"/>
              <w:left w:val="nil"/>
              <w:bottom w:val="single" w:sz="8" w:space="0" w:color="455660"/>
              <w:right w:val="single" w:sz="8" w:space="0" w:color="455660"/>
            </w:tcBorders>
            <w:shd w:val="clear" w:color="auto" w:fill="EBEFF5"/>
            <w:tcMar>
              <w:top w:w="15" w:type="dxa"/>
              <w:left w:w="3" w:type="dxa"/>
              <w:bottom w:w="0" w:type="dxa"/>
              <w:right w:w="3" w:type="dxa"/>
            </w:tcMar>
            <w:vAlign w:val="center"/>
            <w:hideMark/>
          </w:tcPr>
          <w:p w:rsidR="00052E2E" w:rsidRPr="00052E2E" w:rsidRDefault="00052E2E" w:rsidP="00914419">
            <w:pPr>
              <w:pStyle w:val="ListParagraph"/>
              <w:numPr>
                <w:ilvl w:val="0"/>
                <w:numId w:val="2"/>
              </w:numPr>
              <w:spacing w:after="0"/>
              <w:rPr>
                <w:lang w:val="pt-BR"/>
              </w:rPr>
            </w:pPr>
            <w:r>
              <w:rPr>
                <w:lang w:val="pt-BR"/>
              </w:rPr>
              <w:t>Ciclos</w:t>
            </w:r>
            <w:r w:rsidRPr="00052E2E">
              <w:rPr>
                <w:lang w:val="pt-BR"/>
              </w:rPr>
              <w:t xml:space="preserve"> de PDSA completos em muitos</w:t>
            </w:r>
            <w:r>
              <w:rPr>
                <w:lang w:val="pt-BR"/>
              </w:rPr>
              <w:t xml:space="preserve"> elementos do pacote de mudança e</w:t>
            </w:r>
            <w:r w:rsidRPr="00052E2E">
              <w:rPr>
                <w:lang w:val="pt-BR"/>
              </w:rPr>
              <w:t xml:space="preserve"> mudanças implementadas em vários componentes do pacote de mudanças. </w:t>
            </w:r>
          </w:p>
          <w:p w:rsidR="00052E2E" w:rsidRPr="00052E2E" w:rsidRDefault="00052E2E" w:rsidP="00914419">
            <w:pPr>
              <w:pStyle w:val="ListParagraph"/>
              <w:numPr>
                <w:ilvl w:val="0"/>
                <w:numId w:val="2"/>
              </w:numPr>
              <w:spacing w:after="0"/>
              <w:rPr>
                <w:lang w:val="pt-BR"/>
              </w:rPr>
            </w:pPr>
            <w:r w:rsidRPr="00052E2E">
              <w:rPr>
                <w:b/>
                <w:bCs/>
                <w:lang w:val="pt-BR"/>
              </w:rPr>
              <w:t xml:space="preserve">Pelo menos 30% de redução na mediana ou </w:t>
            </w:r>
            <w:r w:rsidR="00D83C00" w:rsidRPr="00052E2E">
              <w:rPr>
                <w:b/>
                <w:bCs/>
                <w:lang w:val="pt-BR"/>
              </w:rPr>
              <w:t>média</w:t>
            </w:r>
            <w:r w:rsidRPr="00052E2E">
              <w:rPr>
                <w:b/>
                <w:bCs/>
                <w:lang w:val="pt-BR"/>
              </w:rPr>
              <w:t xml:space="preserve"> das densidades de infecção (ICVC, ITUCV, PAV) ou mais de 180 </w:t>
            </w:r>
            <w:r w:rsidR="006D37A0">
              <w:rPr>
                <w:b/>
                <w:bCs/>
                <w:lang w:val="pt-BR"/>
              </w:rPr>
              <w:t>dispositivos dia entre</w:t>
            </w:r>
            <w:r w:rsidR="006D37A0" w:rsidRPr="00052E2E">
              <w:rPr>
                <w:b/>
                <w:bCs/>
                <w:lang w:val="pt-BR"/>
              </w:rPr>
              <w:t xml:space="preserve"> infecções</w:t>
            </w:r>
            <w:r w:rsidR="006D37A0" w:rsidRPr="00052E2E">
              <w:rPr>
                <w:b/>
                <w:bCs/>
                <w:lang w:val="pt-BR"/>
              </w:rPr>
              <w:t xml:space="preserve"> </w:t>
            </w:r>
            <w:r w:rsidRPr="00052E2E">
              <w:rPr>
                <w:b/>
                <w:bCs/>
                <w:lang w:val="pt-BR"/>
              </w:rPr>
              <w:t xml:space="preserve">ICVC, ITUCV e PAV (corresponde a 60% de </w:t>
            </w:r>
            <w:r w:rsidR="0053618E">
              <w:rPr>
                <w:b/>
                <w:bCs/>
                <w:lang w:val="pt-BR"/>
              </w:rPr>
              <w:t>300 dispositivos dia entre</w:t>
            </w:r>
            <w:r w:rsidR="0053618E" w:rsidRPr="0053618E" w:rsidDel="0053618E">
              <w:rPr>
                <w:b/>
                <w:bCs/>
                <w:lang w:val="pt-BR"/>
              </w:rPr>
              <w:t xml:space="preserve"> </w:t>
            </w:r>
            <w:proofErr w:type="spellStart"/>
            <w:r w:rsidR="0053618E" w:rsidRPr="00052E2E">
              <w:rPr>
                <w:b/>
                <w:bCs/>
                <w:lang w:val="pt-BR"/>
              </w:rPr>
              <w:t>entre</w:t>
            </w:r>
            <w:proofErr w:type="spellEnd"/>
            <w:r w:rsidR="0053618E" w:rsidRPr="00052E2E">
              <w:rPr>
                <w:b/>
                <w:bCs/>
                <w:lang w:val="pt-BR"/>
              </w:rPr>
              <w:t xml:space="preserve"> infecções</w:t>
            </w:r>
            <w:r w:rsidRPr="00052E2E">
              <w:rPr>
                <w:b/>
                <w:bCs/>
                <w:lang w:val="pt-BR"/>
              </w:rPr>
              <w:t>)</w:t>
            </w:r>
          </w:p>
          <w:p w:rsidR="00052E2E" w:rsidRPr="00052E2E" w:rsidRDefault="005C0ACD" w:rsidP="00914419">
            <w:pPr>
              <w:pStyle w:val="ListParagraph"/>
              <w:numPr>
                <w:ilvl w:val="0"/>
                <w:numId w:val="2"/>
              </w:numPr>
              <w:spacing w:after="0"/>
              <w:rPr>
                <w:lang w:val="pt-BR"/>
              </w:rPr>
            </w:pPr>
            <w:r w:rsidRPr="00825CF1">
              <w:rPr>
                <w:b/>
                <w:bCs/>
                <w:lang w:val="pt-BR"/>
              </w:rPr>
              <w:t xml:space="preserve">O indicador de adesão ao pacote de mudança (bundle) para redução de infeção está estável com pelo menos 6 pontos com mediana ou média </w:t>
            </w:r>
            <w:r>
              <w:rPr>
                <w:b/>
                <w:bCs/>
                <w:lang w:val="pt-BR"/>
              </w:rPr>
              <w:t>&gt; 8</w:t>
            </w:r>
            <w:r w:rsidRPr="00825CF1">
              <w:rPr>
                <w:b/>
                <w:bCs/>
                <w:lang w:val="pt-BR"/>
              </w:rPr>
              <w:t>5%</w:t>
            </w:r>
          </w:p>
        </w:tc>
      </w:tr>
      <w:tr w:rsidR="00052E2E" w:rsidRPr="00990C1E" w:rsidTr="00052E2E">
        <w:trPr>
          <w:trHeight w:val="1531"/>
        </w:trPr>
        <w:tc>
          <w:tcPr>
            <w:tcW w:w="2361" w:type="dxa"/>
            <w:tcBorders>
              <w:top w:val="single" w:sz="8" w:space="0" w:color="455660"/>
              <w:left w:val="single" w:sz="8" w:space="0" w:color="455660"/>
              <w:bottom w:val="single" w:sz="8" w:space="0" w:color="455660"/>
              <w:right w:val="nil"/>
            </w:tcBorders>
            <w:shd w:val="clear" w:color="auto" w:fill="EBEFF5"/>
            <w:tcMar>
              <w:top w:w="15" w:type="dxa"/>
              <w:left w:w="108" w:type="dxa"/>
              <w:bottom w:w="0" w:type="dxa"/>
              <w:right w:w="108" w:type="dxa"/>
            </w:tcMar>
            <w:vAlign w:val="center"/>
            <w:hideMark/>
          </w:tcPr>
          <w:p w:rsidR="00052E2E" w:rsidRPr="00052E2E" w:rsidRDefault="00052E2E" w:rsidP="00052E2E">
            <w:pPr>
              <w:spacing w:after="0" w:line="240" w:lineRule="auto"/>
              <w:jc w:val="center"/>
              <w:rPr>
                <w:u w:val="single"/>
              </w:rPr>
            </w:pPr>
            <w:r w:rsidRPr="00052E2E">
              <w:rPr>
                <w:b/>
                <w:bCs/>
                <w:u w:val="single"/>
                <w:lang w:val="pt-BR"/>
              </w:rPr>
              <w:lastRenderedPageBreak/>
              <w:t>4.0</w:t>
            </w:r>
          </w:p>
          <w:p w:rsidR="00052E2E" w:rsidRPr="00052E2E" w:rsidRDefault="00052E2E" w:rsidP="00052E2E">
            <w:pPr>
              <w:spacing w:after="0" w:line="240" w:lineRule="auto"/>
              <w:jc w:val="center"/>
            </w:pPr>
            <w:r w:rsidRPr="00052E2E">
              <w:rPr>
                <w:b/>
                <w:bCs/>
                <w:lang w:val="pt-BR"/>
              </w:rPr>
              <w:t>Melhoria significativa</w:t>
            </w:r>
          </w:p>
        </w:tc>
        <w:tc>
          <w:tcPr>
            <w:tcW w:w="12029" w:type="dxa"/>
            <w:tcBorders>
              <w:top w:val="single" w:sz="8" w:space="0" w:color="455660"/>
              <w:left w:val="nil"/>
              <w:bottom w:val="single" w:sz="8" w:space="0" w:color="455660"/>
              <w:right w:val="single" w:sz="8" w:space="0" w:color="455660"/>
            </w:tcBorders>
            <w:shd w:val="clear" w:color="auto" w:fill="EBEFF5"/>
            <w:tcMar>
              <w:top w:w="15" w:type="dxa"/>
              <w:left w:w="3" w:type="dxa"/>
              <w:bottom w:w="0" w:type="dxa"/>
              <w:right w:w="3" w:type="dxa"/>
            </w:tcMar>
            <w:vAlign w:val="center"/>
            <w:hideMark/>
          </w:tcPr>
          <w:p w:rsidR="00052E2E" w:rsidRDefault="00052E2E" w:rsidP="00D83C00">
            <w:pPr>
              <w:pStyle w:val="ListParagraph"/>
              <w:numPr>
                <w:ilvl w:val="0"/>
                <w:numId w:val="3"/>
              </w:numPr>
              <w:spacing w:after="0"/>
              <w:rPr>
                <w:lang w:val="pt-BR"/>
              </w:rPr>
            </w:pPr>
            <w:bookmarkStart w:id="0" w:name="_GoBack"/>
            <w:bookmarkEnd w:id="0"/>
            <w:r w:rsidRPr="00052E2E">
              <w:rPr>
                <w:lang w:val="pt-BR"/>
              </w:rPr>
              <w:t>A maioria dos componentes do pacote de mudanças foi implementada</w:t>
            </w:r>
            <w:r>
              <w:rPr>
                <w:lang w:val="pt-BR"/>
              </w:rPr>
              <w:t xml:space="preserve"> nas áreas piloto</w:t>
            </w:r>
            <w:r w:rsidRPr="00052E2E">
              <w:rPr>
                <w:lang w:val="pt-BR"/>
              </w:rPr>
              <w:t xml:space="preserve">. </w:t>
            </w:r>
          </w:p>
          <w:p w:rsidR="00052E2E" w:rsidRDefault="00052E2E" w:rsidP="00D83C00">
            <w:pPr>
              <w:pStyle w:val="ListParagraph"/>
              <w:numPr>
                <w:ilvl w:val="0"/>
                <w:numId w:val="3"/>
              </w:numPr>
              <w:spacing w:after="0"/>
              <w:rPr>
                <w:lang w:val="pt-BR"/>
              </w:rPr>
            </w:pPr>
            <w:r w:rsidRPr="00052E2E">
              <w:rPr>
                <w:lang w:val="pt-BR"/>
              </w:rPr>
              <w:t xml:space="preserve">Planos para ampliação do projeto já foram feitos. </w:t>
            </w:r>
          </w:p>
          <w:p w:rsidR="00052E2E" w:rsidRPr="00825CF1" w:rsidRDefault="00D83C00" w:rsidP="00825CF1">
            <w:pPr>
              <w:pStyle w:val="ListParagraph"/>
              <w:numPr>
                <w:ilvl w:val="0"/>
                <w:numId w:val="3"/>
              </w:numPr>
              <w:spacing w:after="0"/>
              <w:rPr>
                <w:lang w:val="pt-BR"/>
              </w:rPr>
            </w:pPr>
            <w:r w:rsidRPr="00D83C00">
              <w:rPr>
                <w:lang w:val="pt-BR"/>
              </w:rPr>
              <w:t xml:space="preserve">Evidência de mudança sustentável na cultura </w:t>
            </w:r>
            <w:r>
              <w:rPr>
                <w:lang w:val="pt-BR"/>
              </w:rPr>
              <w:t>(</w:t>
            </w:r>
            <w:r w:rsidRPr="00D83C00">
              <w:rPr>
                <w:lang w:val="pt-BR"/>
              </w:rPr>
              <w:t>dados e seu uso para melhoria e não julgamento</w:t>
            </w:r>
            <w:r>
              <w:rPr>
                <w:lang w:val="pt-BR"/>
              </w:rPr>
              <w:t>)</w:t>
            </w:r>
          </w:p>
          <w:p w:rsidR="00052E2E" w:rsidRPr="00052E2E" w:rsidRDefault="00052E2E" w:rsidP="00D83C00">
            <w:pPr>
              <w:pStyle w:val="ListParagraph"/>
              <w:numPr>
                <w:ilvl w:val="0"/>
                <w:numId w:val="3"/>
              </w:numPr>
              <w:spacing w:after="0"/>
              <w:rPr>
                <w:lang w:val="pt-BR"/>
              </w:rPr>
            </w:pPr>
            <w:r w:rsidRPr="00052E2E">
              <w:rPr>
                <w:b/>
                <w:bCs/>
                <w:lang w:val="pt-BR"/>
              </w:rPr>
              <w:t xml:space="preserve">Pelo menos 40% de redução na mediana ou média das densidades de infecção (ICVC, ITUCV, PAV) ou mais de 240 </w:t>
            </w:r>
            <w:r w:rsidR="006D37A0">
              <w:rPr>
                <w:b/>
                <w:bCs/>
                <w:lang w:val="pt-BR"/>
              </w:rPr>
              <w:t>dispositivos dia entre</w:t>
            </w:r>
            <w:r w:rsidR="006D37A0" w:rsidRPr="00052E2E">
              <w:rPr>
                <w:b/>
                <w:bCs/>
                <w:lang w:val="pt-BR"/>
              </w:rPr>
              <w:t xml:space="preserve"> infecções</w:t>
            </w:r>
            <w:r w:rsidR="006D37A0" w:rsidRPr="00052E2E">
              <w:rPr>
                <w:b/>
                <w:bCs/>
                <w:lang w:val="pt-BR"/>
              </w:rPr>
              <w:t xml:space="preserve"> </w:t>
            </w:r>
            <w:r w:rsidRPr="00052E2E">
              <w:rPr>
                <w:b/>
                <w:bCs/>
                <w:lang w:val="pt-BR"/>
              </w:rPr>
              <w:t xml:space="preserve">ICVC, ITUCV, PAV (corresponde a 80% de </w:t>
            </w:r>
            <w:r w:rsidR="0053618E">
              <w:rPr>
                <w:b/>
                <w:bCs/>
                <w:lang w:val="pt-BR"/>
              </w:rPr>
              <w:t>300 dispositivos dia entre</w:t>
            </w:r>
            <w:r w:rsidR="0053618E" w:rsidRPr="00052E2E">
              <w:rPr>
                <w:b/>
                <w:bCs/>
                <w:lang w:val="pt-BR"/>
              </w:rPr>
              <w:t xml:space="preserve"> infecções</w:t>
            </w:r>
            <w:r w:rsidRPr="00052E2E">
              <w:rPr>
                <w:b/>
                <w:bCs/>
                <w:lang w:val="pt-BR"/>
              </w:rPr>
              <w:t>)</w:t>
            </w:r>
          </w:p>
          <w:p w:rsidR="00052E2E" w:rsidRPr="00052E2E" w:rsidRDefault="00825CF1" w:rsidP="00D83C00">
            <w:pPr>
              <w:pStyle w:val="ListParagraph"/>
              <w:numPr>
                <w:ilvl w:val="0"/>
                <w:numId w:val="3"/>
              </w:numPr>
              <w:spacing w:after="0"/>
              <w:rPr>
                <w:lang w:val="pt-BR"/>
              </w:rPr>
            </w:pPr>
            <w:r w:rsidRPr="00825CF1">
              <w:rPr>
                <w:b/>
                <w:bCs/>
                <w:lang w:val="pt-BR"/>
              </w:rPr>
              <w:t>O indicador de adesão ao pacote de mudança (bundle) para redução de infeção está estável com pelo menos 6 pontos com mediana ou média &gt; 95%</w:t>
            </w:r>
          </w:p>
        </w:tc>
      </w:tr>
      <w:tr w:rsidR="00052E2E" w:rsidRPr="00990C1E" w:rsidTr="00052E2E">
        <w:trPr>
          <w:trHeight w:val="1148"/>
        </w:trPr>
        <w:tc>
          <w:tcPr>
            <w:tcW w:w="2361" w:type="dxa"/>
            <w:tcBorders>
              <w:top w:val="single" w:sz="8" w:space="0" w:color="455660"/>
              <w:left w:val="single" w:sz="8" w:space="0" w:color="455660"/>
              <w:bottom w:val="single" w:sz="8" w:space="0" w:color="455660"/>
              <w:right w:val="nil"/>
            </w:tcBorders>
            <w:shd w:val="clear" w:color="auto" w:fill="EBEFF5"/>
            <w:tcMar>
              <w:top w:w="15" w:type="dxa"/>
              <w:left w:w="108" w:type="dxa"/>
              <w:bottom w:w="0" w:type="dxa"/>
              <w:right w:w="108" w:type="dxa"/>
            </w:tcMar>
            <w:vAlign w:val="center"/>
            <w:hideMark/>
          </w:tcPr>
          <w:p w:rsidR="00052E2E" w:rsidRPr="00052E2E" w:rsidRDefault="00052E2E" w:rsidP="00052E2E">
            <w:pPr>
              <w:spacing w:after="0" w:line="240" w:lineRule="auto"/>
              <w:jc w:val="center"/>
              <w:rPr>
                <w:u w:val="single"/>
              </w:rPr>
            </w:pPr>
            <w:r w:rsidRPr="00052E2E">
              <w:rPr>
                <w:b/>
                <w:bCs/>
                <w:u w:val="single"/>
                <w:lang w:val="pt-BR"/>
              </w:rPr>
              <w:t>4.5</w:t>
            </w:r>
          </w:p>
          <w:p w:rsidR="00052E2E" w:rsidRPr="00052E2E" w:rsidRDefault="00052E2E" w:rsidP="00052E2E">
            <w:pPr>
              <w:spacing w:after="0" w:line="240" w:lineRule="auto"/>
              <w:jc w:val="center"/>
            </w:pPr>
            <w:r w:rsidRPr="00052E2E">
              <w:rPr>
                <w:b/>
                <w:bCs/>
                <w:lang w:val="pt-BR"/>
              </w:rPr>
              <w:t>Melhoria sustentada</w:t>
            </w:r>
          </w:p>
        </w:tc>
        <w:tc>
          <w:tcPr>
            <w:tcW w:w="12029" w:type="dxa"/>
            <w:tcBorders>
              <w:top w:val="single" w:sz="8" w:space="0" w:color="455660"/>
              <w:left w:val="nil"/>
              <w:bottom w:val="single" w:sz="8" w:space="0" w:color="455660"/>
              <w:right w:val="single" w:sz="8" w:space="0" w:color="455660"/>
            </w:tcBorders>
            <w:shd w:val="clear" w:color="auto" w:fill="EBEFF5"/>
            <w:tcMar>
              <w:top w:w="15" w:type="dxa"/>
              <w:left w:w="3" w:type="dxa"/>
              <w:bottom w:w="0" w:type="dxa"/>
              <w:right w:w="3" w:type="dxa"/>
            </w:tcMar>
            <w:vAlign w:val="center"/>
            <w:hideMark/>
          </w:tcPr>
          <w:p w:rsidR="00052E2E" w:rsidRDefault="00052E2E" w:rsidP="00914419">
            <w:pPr>
              <w:pStyle w:val="ListParagraph"/>
              <w:numPr>
                <w:ilvl w:val="0"/>
                <w:numId w:val="3"/>
              </w:numPr>
              <w:spacing w:after="0"/>
              <w:rPr>
                <w:lang w:val="pt-BR"/>
              </w:rPr>
            </w:pPr>
            <w:r w:rsidRPr="00052E2E">
              <w:rPr>
                <w:lang w:val="pt-BR"/>
              </w:rPr>
              <w:t>Pacote de mudanças foi totalmente implantado na</w:t>
            </w:r>
            <w:r>
              <w:rPr>
                <w:lang w:val="pt-BR"/>
              </w:rPr>
              <w:t>s</w:t>
            </w:r>
            <w:r w:rsidRPr="00052E2E">
              <w:rPr>
                <w:lang w:val="pt-BR"/>
              </w:rPr>
              <w:t xml:space="preserve"> área</w:t>
            </w:r>
            <w:r>
              <w:rPr>
                <w:lang w:val="pt-BR"/>
              </w:rPr>
              <w:t>s</w:t>
            </w:r>
            <w:r w:rsidRPr="00052E2E">
              <w:rPr>
                <w:lang w:val="pt-BR"/>
              </w:rPr>
              <w:t xml:space="preserve"> piloto. </w:t>
            </w:r>
          </w:p>
          <w:p w:rsidR="00052E2E" w:rsidRDefault="00052E2E" w:rsidP="00914419">
            <w:pPr>
              <w:pStyle w:val="ListParagraph"/>
              <w:numPr>
                <w:ilvl w:val="0"/>
                <w:numId w:val="3"/>
              </w:numPr>
              <w:spacing w:after="0"/>
              <w:rPr>
                <w:lang w:val="pt-BR"/>
              </w:rPr>
            </w:pPr>
            <w:r>
              <w:rPr>
                <w:lang w:val="pt-BR"/>
              </w:rPr>
              <w:t>A</w:t>
            </w:r>
            <w:r w:rsidRPr="00052E2E">
              <w:rPr>
                <w:lang w:val="pt-BR"/>
              </w:rPr>
              <w:t xml:space="preserve">mpliação para outras áreas já teve início. </w:t>
            </w:r>
          </w:p>
          <w:p w:rsidR="00052E2E" w:rsidRPr="00825CF1" w:rsidRDefault="00D83C00" w:rsidP="00914419">
            <w:pPr>
              <w:pStyle w:val="ListParagraph"/>
              <w:numPr>
                <w:ilvl w:val="0"/>
                <w:numId w:val="3"/>
              </w:numPr>
              <w:spacing w:after="0"/>
              <w:rPr>
                <w:lang w:val="pt-BR"/>
              </w:rPr>
            </w:pPr>
            <w:r w:rsidRPr="00D83C00">
              <w:rPr>
                <w:lang w:val="pt-BR"/>
              </w:rPr>
              <w:t xml:space="preserve">Evidência de mudança sustentável na cultura </w:t>
            </w:r>
            <w:r>
              <w:rPr>
                <w:lang w:val="pt-BR"/>
              </w:rPr>
              <w:t>(</w:t>
            </w:r>
            <w:r w:rsidRPr="00D83C00">
              <w:rPr>
                <w:lang w:val="pt-BR"/>
              </w:rPr>
              <w:t>dados e seu uso para melhoria e não julgamento</w:t>
            </w:r>
            <w:r>
              <w:rPr>
                <w:lang w:val="pt-BR"/>
              </w:rPr>
              <w:t>)</w:t>
            </w:r>
          </w:p>
          <w:p w:rsidR="00052E2E" w:rsidRPr="00052E2E" w:rsidRDefault="00052E2E" w:rsidP="00914419">
            <w:pPr>
              <w:pStyle w:val="ListParagraph"/>
              <w:numPr>
                <w:ilvl w:val="0"/>
                <w:numId w:val="3"/>
              </w:numPr>
              <w:spacing w:after="0"/>
              <w:rPr>
                <w:lang w:val="pt-BR"/>
              </w:rPr>
            </w:pPr>
            <w:r w:rsidRPr="00052E2E">
              <w:rPr>
                <w:b/>
                <w:bCs/>
                <w:lang w:val="pt-BR"/>
              </w:rPr>
              <w:t xml:space="preserve">Pelo menos 45% de redução na mediana ou média das densidades de infecção (ICVC, ITUCV, PAV) ou mais ou mais de 270 </w:t>
            </w:r>
            <w:r w:rsidR="006D37A0">
              <w:rPr>
                <w:b/>
                <w:bCs/>
                <w:lang w:val="pt-BR"/>
              </w:rPr>
              <w:t>dispositivos dia entre</w:t>
            </w:r>
            <w:r w:rsidR="006D37A0" w:rsidRPr="00052E2E">
              <w:rPr>
                <w:b/>
                <w:bCs/>
                <w:lang w:val="pt-BR"/>
              </w:rPr>
              <w:t xml:space="preserve"> infecções</w:t>
            </w:r>
            <w:r w:rsidR="006D37A0" w:rsidRPr="00052E2E">
              <w:rPr>
                <w:b/>
                <w:bCs/>
                <w:lang w:val="pt-BR"/>
              </w:rPr>
              <w:t xml:space="preserve"> </w:t>
            </w:r>
            <w:r w:rsidRPr="00052E2E">
              <w:rPr>
                <w:b/>
                <w:bCs/>
                <w:lang w:val="pt-BR"/>
              </w:rPr>
              <w:t xml:space="preserve">ICVC, ITUCV, PAV (corresponde a 90% de </w:t>
            </w:r>
            <w:r w:rsidR="0053618E">
              <w:rPr>
                <w:b/>
                <w:bCs/>
                <w:lang w:val="pt-BR"/>
              </w:rPr>
              <w:t>300 dispositivos dia entre</w:t>
            </w:r>
            <w:r w:rsidR="0053618E" w:rsidRPr="00052E2E">
              <w:rPr>
                <w:b/>
                <w:bCs/>
                <w:lang w:val="pt-BR"/>
              </w:rPr>
              <w:t xml:space="preserve"> infecções</w:t>
            </w:r>
            <w:r w:rsidRPr="00052E2E">
              <w:rPr>
                <w:b/>
                <w:bCs/>
                <w:lang w:val="pt-BR"/>
              </w:rPr>
              <w:t>)</w:t>
            </w:r>
          </w:p>
          <w:p w:rsidR="00052E2E" w:rsidRPr="00825CF1" w:rsidRDefault="002C2B4A" w:rsidP="00914419">
            <w:pPr>
              <w:pStyle w:val="ListParagraph"/>
              <w:numPr>
                <w:ilvl w:val="0"/>
                <w:numId w:val="3"/>
              </w:numPr>
              <w:spacing w:after="0"/>
              <w:rPr>
                <w:b/>
                <w:lang w:val="pt-BR"/>
              </w:rPr>
            </w:pPr>
            <w:r w:rsidRPr="00825CF1">
              <w:rPr>
                <w:b/>
                <w:bCs/>
                <w:lang w:val="pt-BR"/>
              </w:rPr>
              <w:t xml:space="preserve">O indicador de adesão </w:t>
            </w:r>
            <w:r w:rsidRPr="00825CF1">
              <w:rPr>
                <w:b/>
                <w:bCs/>
                <w:lang w:val="pt-BR"/>
              </w:rPr>
              <w:t>ao pacote de mudança (bundle) para redução de infeção</w:t>
            </w:r>
            <w:r w:rsidRPr="00825CF1">
              <w:rPr>
                <w:b/>
                <w:bCs/>
                <w:lang w:val="pt-BR"/>
              </w:rPr>
              <w:t xml:space="preserve"> está estável com p</w:t>
            </w:r>
            <w:r w:rsidR="00D83C00" w:rsidRPr="00825CF1">
              <w:rPr>
                <w:b/>
                <w:bCs/>
                <w:lang w:val="pt-BR"/>
              </w:rPr>
              <w:t xml:space="preserve">elo menos 6 pontos </w:t>
            </w:r>
            <w:r w:rsidR="00825CF1" w:rsidRPr="00825CF1">
              <w:rPr>
                <w:b/>
                <w:bCs/>
                <w:lang w:val="pt-BR"/>
              </w:rPr>
              <w:t>com</w:t>
            </w:r>
            <w:r w:rsidR="00D83C00" w:rsidRPr="00825CF1">
              <w:rPr>
                <w:b/>
                <w:bCs/>
                <w:lang w:val="pt-BR"/>
              </w:rPr>
              <w:t xml:space="preserve"> mediana ou mé</w:t>
            </w:r>
            <w:r w:rsidRPr="00825CF1">
              <w:rPr>
                <w:b/>
                <w:bCs/>
                <w:lang w:val="pt-BR"/>
              </w:rPr>
              <w:t>dia</w:t>
            </w:r>
            <w:r w:rsidR="00D83C00" w:rsidRPr="00825CF1">
              <w:rPr>
                <w:b/>
                <w:bCs/>
                <w:lang w:val="pt-BR"/>
              </w:rPr>
              <w:t xml:space="preserve"> </w:t>
            </w:r>
            <w:r w:rsidRPr="00825CF1">
              <w:rPr>
                <w:b/>
                <w:bCs/>
                <w:lang w:val="pt-BR"/>
              </w:rPr>
              <w:t>&gt; 95%</w:t>
            </w:r>
          </w:p>
        </w:tc>
      </w:tr>
      <w:tr w:rsidR="00052E2E" w:rsidRPr="00990C1E" w:rsidTr="00052E2E">
        <w:trPr>
          <w:trHeight w:val="1914"/>
        </w:trPr>
        <w:tc>
          <w:tcPr>
            <w:tcW w:w="2361" w:type="dxa"/>
            <w:tcBorders>
              <w:top w:val="single" w:sz="8" w:space="0" w:color="455660"/>
              <w:left w:val="single" w:sz="8" w:space="0" w:color="455660"/>
              <w:bottom w:val="single" w:sz="8" w:space="0" w:color="455660"/>
              <w:right w:val="nil"/>
            </w:tcBorders>
            <w:shd w:val="clear" w:color="auto" w:fill="EBEFF5"/>
            <w:tcMar>
              <w:top w:w="15" w:type="dxa"/>
              <w:left w:w="108" w:type="dxa"/>
              <w:bottom w:w="0" w:type="dxa"/>
              <w:right w:w="108" w:type="dxa"/>
            </w:tcMar>
            <w:vAlign w:val="center"/>
            <w:hideMark/>
          </w:tcPr>
          <w:p w:rsidR="00052E2E" w:rsidRPr="00052E2E" w:rsidRDefault="00052E2E" w:rsidP="00052E2E">
            <w:pPr>
              <w:spacing w:after="0" w:line="240" w:lineRule="auto"/>
              <w:jc w:val="center"/>
              <w:rPr>
                <w:u w:val="single"/>
              </w:rPr>
            </w:pPr>
            <w:r w:rsidRPr="00052E2E">
              <w:rPr>
                <w:b/>
                <w:bCs/>
                <w:u w:val="single"/>
                <w:lang w:val="pt-BR"/>
              </w:rPr>
              <w:t>5.0</w:t>
            </w:r>
          </w:p>
          <w:p w:rsidR="00052E2E" w:rsidRPr="00052E2E" w:rsidRDefault="00052E2E" w:rsidP="00052E2E">
            <w:pPr>
              <w:spacing w:after="0" w:line="240" w:lineRule="auto"/>
              <w:jc w:val="center"/>
            </w:pPr>
            <w:r w:rsidRPr="00052E2E">
              <w:rPr>
                <w:b/>
                <w:bCs/>
                <w:lang w:val="pt-BR"/>
              </w:rPr>
              <w:t>Resultados sustentáveis espetaculares</w:t>
            </w:r>
          </w:p>
        </w:tc>
        <w:tc>
          <w:tcPr>
            <w:tcW w:w="12029" w:type="dxa"/>
            <w:tcBorders>
              <w:top w:val="single" w:sz="8" w:space="0" w:color="455660"/>
              <w:left w:val="nil"/>
              <w:bottom w:val="single" w:sz="8" w:space="0" w:color="455660"/>
              <w:right w:val="single" w:sz="8" w:space="0" w:color="455660"/>
            </w:tcBorders>
            <w:shd w:val="clear" w:color="auto" w:fill="EBEFF5"/>
            <w:tcMar>
              <w:top w:w="15" w:type="dxa"/>
              <w:left w:w="3" w:type="dxa"/>
              <w:bottom w:w="0" w:type="dxa"/>
              <w:right w:w="3" w:type="dxa"/>
            </w:tcMar>
            <w:vAlign w:val="center"/>
            <w:hideMark/>
          </w:tcPr>
          <w:p w:rsidR="00052E2E" w:rsidRPr="00D83C00" w:rsidRDefault="00052E2E" w:rsidP="00D83C00">
            <w:pPr>
              <w:pStyle w:val="ListParagraph"/>
              <w:numPr>
                <w:ilvl w:val="0"/>
                <w:numId w:val="4"/>
              </w:numPr>
              <w:spacing w:after="0"/>
              <w:rPr>
                <w:lang w:val="pt-BR"/>
              </w:rPr>
            </w:pPr>
            <w:r w:rsidRPr="00052E2E">
              <w:rPr>
                <w:lang w:val="pt-BR"/>
              </w:rPr>
              <w:t xml:space="preserve">Todos os objetivos </w:t>
            </w:r>
            <w:r>
              <w:rPr>
                <w:lang w:val="pt-BR"/>
              </w:rPr>
              <w:t>da colaborativa</w:t>
            </w:r>
            <w:r w:rsidRPr="00052E2E">
              <w:rPr>
                <w:lang w:val="pt-BR"/>
              </w:rPr>
              <w:t xml:space="preserve"> foram alcançados</w:t>
            </w:r>
            <w:r w:rsidR="00D83C00">
              <w:rPr>
                <w:lang w:val="pt-BR"/>
              </w:rPr>
              <w:t xml:space="preserve"> e</w:t>
            </w:r>
            <w:r w:rsidR="00D83C00" w:rsidRPr="00052E2E">
              <w:rPr>
                <w:lang w:val="pt-BR"/>
              </w:rPr>
              <w:t xml:space="preserve"> ampliação</w:t>
            </w:r>
            <w:r w:rsidR="00D83C00">
              <w:rPr>
                <w:lang w:val="pt-BR"/>
              </w:rPr>
              <w:t xml:space="preserve"> já está sendo implementada</w:t>
            </w:r>
            <w:r w:rsidR="00D83C00" w:rsidRPr="00052E2E">
              <w:rPr>
                <w:lang w:val="pt-BR"/>
              </w:rPr>
              <w:t xml:space="preserve"> para </w:t>
            </w:r>
            <w:r w:rsidR="00D83C00">
              <w:rPr>
                <w:lang w:val="pt-BR"/>
              </w:rPr>
              <w:t>alguma outra população/área do hospital</w:t>
            </w:r>
            <w:r w:rsidR="00D83C00" w:rsidRPr="00052E2E">
              <w:rPr>
                <w:lang w:val="pt-BR"/>
              </w:rPr>
              <w:t xml:space="preserve">. </w:t>
            </w:r>
          </w:p>
          <w:p w:rsidR="00052E2E" w:rsidRPr="00D83C00" w:rsidRDefault="00052E2E" w:rsidP="00D83C00">
            <w:pPr>
              <w:pStyle w:val="ListParagraph"/>
              <w:numPr>
                <w:ilvl w:val="0"/>
                <w:numId w:val="4"/>
              </w:numPr>
              <w:spacing w:after="0"/>
              <w:rPr>
                <w:lang w:val="pt-BR"/>
              </w:rPr>
            </w:pPr>
            <w:r w:rsidRPr="00D83C00">
              <w:rPr>
                <w:lang w:val="pt-BR"/>
              </w:rPr>
              <w:t xml:space="preserve">Evidência de mudança sustentável na cultura </w:t>
            </w:r>
            <w:r w:rsidR="00D83C00">
              <w:rPr>
                <w:lang w:val="pt-BR"/>
              </w:rPr>
              <w:t>(</w:t>
            </w:r>
            <w:r w:rsidRPr="00D83C00">
              <w:rPr>
                <w:lang w:val="pt-BR"/>
              </w:rPr>
              <w:t>dados e seu uso para melhoria e não julgamento</w:t>
            </w:r>
            <w:r w:rsidR="00D83C00">
              <w:rPr>
                <w:lang w:val="pt-BR"/>
              </w:rPr>
              <w:t>)</w:t>
            </w:r>
          </w:p>
          <w:p w:rsidR="00052E2E" w:rsidRPr="00052E2E" w:rsidRDefault="00052E2E" w:rsidP="00052E2E">
            <w:pPr>
              <w:pStyle w:val="ListParagraph"/>
              <w:numPr>
                <w:ilvl w:val="0"/>
                <w:numId w:val="4"/>
              </w:numPr>
              <w:spacing w:after="0"/>
              <w:rPr>
                <w:lang w:val="pt-BR"/>
              </w:rPr>
            </w:pPr>
            <w:r w:rsidRPr="00052E2E">
              <w:rPr>
                <w:b/>
                <w:bCs/>
                <w:lang w:val="pt-BR"/>
              </w:rPr>
              <w:t xml:space="preserve">Pelo menos 6 pontos na mediana ou média dos indicadores de resultado (ICVC, ITUCV e PAV) correspondem a uma redução de 50% nas densidades de infecção ou mais de </w:t>
            </w:r>
            <w:r w:rsidR="0053618E">
              <w:rPr>
                <w:b/>
                <w:bCs/>
                <w:lang w:val="pt-BR"/>
              </w:rPr>
              <w:t>300 dispositivos dia entre</w:t>
            </w:r>
            <w:r w:rsidRPr="00052E2E">
              <w:rPr>
                <w:b/>
                <w:bCs/>
                <w:lang w:val="pt-BR"/>
              </w:rPr>
              <w:t xml:space="preserve"> infecções</w:t>
            </w:r>
          </w:p>
          <w:p w:rsidR="00052E2E" w:rsidRPr="00052E2E" w:rsidRDefault="00D83C00" w:rsidP="00052E2E">
            <w:pPr>
              <w:pStyle w:val="ListParagraph"/>
              <w:numPr>
                <w:ilvl w:val="0"/>
                <w:numId w:val="4"/>
              </w:numPr>
              <w:spacing w:after="0"/>
              <w:rPr>
                <w:lang w:val="pt-BR"/>
              </w:rPr>
            </w:pPr>
            <w:r w:rsidRPr="0053618E">
              <w:rPr>
                <w:bCs/>
                <w:lang w:val="pt-BR"/>
              </w:rPr>
              <w:t xml:space="preserve">Indicadores de processo passam a ser medidos com </w:t>
            </w:r>
            <w:r w:rsidR="00803446">
              <w:rPr>
                <w:bCs/>
                <w:lang w:val="pt-BR"/>
              </w:rPr>
              <w:t xml:space="preserve">uma </w:t>
            </w:r>
            <w:r w:rsidRPr="0053618E">
              <w:rPr>
                <w:bCs/>
                <w:lang w:val="pt-BR"/>
              </w:rPr>
              <w:t>frequência</w:t>
            </w:r>
            <w:r w:rsidR="0053618E">
              <w:rPr>
                <w:bCs/>
                <w:lang w:val="pt-BR"/>
              </w:rPr>
              <w:t xml:space="preserve"> </w:t>
            </w:r>
            <w:r w:rsidR="0053618E" w:rsidRPr="0053618E">
              <w:rPr>
                <w:bCs/>
                <w:lang w:val="pt-BR"/>
              </w:rPr>
              <w:t>menor</w:t>
            </w:r>
            <w:r w:rsidRPr="0053618E">
              <w:rPr>
                <w:bCs/>
                <w:lang w:val="pt-BR"/>
              </w:rPr>
              <w:t xml:space="preserve"> </w:t>
            </w:r>
            <w:r w:rsidR="0053618E">
              <w:rPr>
                <w:bCs/>
                <w:lang w:val="pt-BR"/>
              </w:rPr>
              <w:t>já que a</w:t>
            </w:r>
            <w:r w:rsidRPr="0053618E">
              <w:rPr>
                <w:bCs/>
                <w:lang w:val="pt-BR"/>
              </w:rPr>
              <w:t xml:space="preserve"> adesão ao </w:t>
            </w:r>
            <w:r w:rsidR="00990C1E" w:rsidRPr="0053618E">
              <w:rPr>
                <w:bCs/>
                <w:lang w:val="pt-BR"/>
              </w:rPr>
              <w:t>pacote de mudança (</w:t>
            </w:r>
            <w:r w:rsidRPr="0053618E">
              <w:rPr>
                <w:bCs/>
                <w:lang w:val="pt-BR"/>
              </w:rPr>
              <w:t>bundle</w:t>
            </w:r>
            <w:r w:rsidR="00990C1E" w:rsidRPr="0053618E">
              <w:rPr>
                <w:bCs/>
                <w:lang w:val="pt-BR"/>
              </w:rPr>
              <w:t>)</w:t>
            </w:r>
            <w:r w:rsidRPr="0053618E">
              <w:rPr>
                <w:bCs/>
                <w:lang w:val="pt-BR"/>
              </w:rPr>
              <w:t xml:space="preserve"> passou a ser o novo modo de trabalho das equipes</w:t>
            </w:r>
          </w:p>
        </w:tc>
      </w:tr>
    </w:tbl>
    <w:p w:rsidR="002515ED" w:rsidRPr="00052E2E" w:rsidRDefault="00CD1A57">
      <w:pPr>
        <w:rPr>
          <w:lang w:val="pt-BR"/>
        </w:rPr>
      </w:pPr>
    </w:p>
    <w:sectPr w:rsidR="002515ED" w:rsidRPr="00052E2E" w:rsidSect="00052E2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4336"/>
    <w:multiLevelType w:val="hybridMultilevel"/>
    <w:tmpl w:val="6C52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25384"/>
    <w:multiLevelType w:val="hybridMultilevel"/>
    <w:tmpl w:val="7FCE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A1D87"/>
    <w:multiLevelType w:val="hybridMultilevel"/>
    <w:tmpl w:val="DEF61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C5616"/>
    <w:multiLevelType w:val="hybridMultilevel"/>
    <w:tmpl w:val="B3F8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929C8"/>
    <w:multiLevelType w:val="hybridMultilevel"/>
    <w:tmpl w:val="1D4A2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E076B"/>
    <w:multiLevelType w:val="hybridMultilevel"/>
    <w:tmpl w:val="CA7CA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76D76"/>
    <w:multiLevelType w:val="hybridMultilevel"/>
    <w:tmpl w:val="13645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467A5F"/>
    <w:multiLevelType w:val="hybridMultilevel"/>
    <w:tmpl w:val="BA50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987413"/>
    <w:multiLevelType w:val="hybridMultilevel"/>
    <w:tmpl w:val="84DA1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3"/>
  </w:num>
  <w:num w:numId="6">
    <w:abstractNumId w:val="7"/>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E2E"/>
    <w:rsid w:val="00007E5B"/>
    <w:rsid w:val="00052E2E"/>
    <w:rsid w:val="00165D1A"/>
    <w:rsid w:val="002C2B4A"/>
    <w:rsid w:val="003A77D1"/>
    <w:rsid w:val="0053618E"/>
    <w:rsid w:val="005611C9"/>
    <w:rsid w:val="005C0ACD"/>
    <w:rsid w:val="00602AD0"/>
    <w:rsid w:val="006D37A0"/>
    <w:rsid w:val="007105C0"/>
    <w:rsid w:val="00803446"/>
    <w:rsid w:val="00825CF1"/>
    <w:rsid w:val="00914419"/>
    <w:rsid w:val="00990C1E"/>
    <w:rsid w:val="00C22C89"/>
    <w:rsid w:val="00CD1A57"/>
    <w:rsid w:val="00D83C00"/>
    <w:rsid w:val="00DA463F"/>
    <w:rsid w:val="00DA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D22E7"/>
  <w15:docId w15:val="{45F0E58B-2C50-4D03-A02D-1A91AA81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E2E"/>
    <w:pPr>
      <w:ind w:left="720"/>
      <w:contextualSpacing/>
    </w:pPr>
  </w:style>
  <w:style w:type="paragraph" w:styleId="BalloonText">
    <w:name w:val="Balloon Text"/>
    <w:basedOn w:val="Normal"/>
    <w:link w:val="BalloonTextChar"/>
    <w:uiPriority w:val="99"/>
    <w:semiHidden/>
    <w:unhideWhenUsed/>
    <w:rsid w:val="00D83C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C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798775">
      <w:bodyDiv w:val="1"/>
      <w:marLeft w:val="0"/>
      <w:marRight w:val="0"/>
      <w:marTop w:val="0"/>
      <w:marBottom w:val="0"/>
      <w:divBdr>
        <w:top w:val="none" w:sz="0" w:space="0" w:color="auto"/>
        <w:left w:val="none" w:sz="0" w:space="0" w:color="auto"/>
        <w:bottom w:val="none" w:sz="0" w:space="0" w:color="auto"/>
        <w:right w:val="none" w:sz="0" w:space="0" w:color="auto"/>
      </w:divBdr>
    </w:div>
    <w:div w:id="179806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A25395DAD2818478FB24D5BA0BD8325" ma:contentTypeVersion="20" ma:contentTypeDescription="Crie um novo documento." ma:contentTypeScope="" ma:versionID="24308d20c0c3d627fb7be76a5de88f2c">
  <xsd:schema xmlns:xsd="http://www.w3.org/2001/XMLSchema" xmlns:xs="http://www.w3.org/2001/XMLSchema" xmlns:p="http://schemas.microsoft.com/office/2006/metadata/properties" xmlns:ns1="http://schemas.microsoft.com/sharepoint/v3" xmlns:ns2="7595665d-dcec-4a93-a94d-ada035ade8e0" xmlns:ns3="ba8db9e7-06ab-4fc3-8870-ae78930b596c" targetNamespace="http://schemas.microsoft.com/office/2006/metadata/properties" ma:root="true" ma:fieldsID="3af5802b2e47f2500314f291e59f10f0" ns1:_="" ns2:_="" ns3:_="">
    <xsd:import namespace="http://schemas.microsoft.com/sharepoint/v3"/>
    <xsd:import namespace="7595665d-dcec-4a93-a94d-ada035ade8e0"/>
    <xsd:import namespace="ba8db9e7-06ab-4fc3-8870-ae78930b59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5665d-dcec-4a93-a94d-ada035ade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af7ba5c7-e7e8-46ad-a5c3-76d2e405b1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8db9e7-06ab-4fc3-8870-ae78930b596c"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5" nillable="true" ma:displayName="Taxonomy Catch All Column" ma:hidden="true" ma:list="{16b67270-77c6-4e53-9086-b260307a8d5e}" ma:internalName="TaxCatchAll" ma:showField="CatchAllData" ma:web="ba8db9e7-06ab-4fc3-8870-ae78930b59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595665d-dcec-4a93-a94d-ada035ade8e0">
      <Terms xmlns="http://schemas.microsoft.com/office/infopath/2007/PartnerControls"/>
    </lcf76f155ced4ddcb4097134ff3c332f>
    <_ip_UnifiedCompliancePolicyProperties xmlns="http://schemas.microsoft.com/sharepoint/v3" xsi:nil="true"/>
    <TaxCatchAll xmlns="ba8db9e7-06ab-4fc3-8870-ae78930b596c" xsi:nil="true"/>
  </documentManagement>
</p:properties>
</file>

<file path=customXml/itemProps1.xml><?xml version="1.0" encoding="utf-8"?>
<ds:datastoreItem xmlns:ds="http://schemas.openxmlformats.org/officeDocument/2006/customXml" ds:itemID="{A3AD0C33-5258-4942-A7DE-0769381539EB}"/>
</file>

<file path=customXml/itemProps2.xml><?xml version="1.0" encoding="utf-8"?>
<ds:datastoreItem xmlns:ds="http://schemas.openxmlformats.org/officeDocument/2006/customXml" ds:itemID="{0D1C019E-2B6C-4DFC-BA5D-2073316B8FBB}"/>
</file>

<file path=customXml/itemProps3.xml><?xml version="1.0" encoding="utf-8"?>
<ds:datastoreItem xmlns:ds="http://schemas.openxmlformats.org/officeDocument/2006/customXml" ds:itemID="{BC7870DA-B100-475B-A77A-01312F549A1A}"/>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3556</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Hopistal Albert Einstein</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Peres</dc:creator>
  <cp:lastModifiedBy>Paulo Borem</cp:lastModifiedBy>
  <cp:revision>2</cp:revision>
  <dcterms:created xsi:type="dcterms:W3CDTF">2018-01-17T02:12:00Z</dcterms:created>
  <dcterms:modified xsi:type="dcterms:W3CDTF">2018-01-17T02:12:00Z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0x010100DA25395DAD2818478FB24D5BA0BD8325</vt:lpwstr>
  </property>
</Properties>
</file>